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C139" w14:textId="77777777" w:rsidR="00680492" w:rsidRPr="00680492" w:rsidRDefault="00680492" w:rsidP="00680492">
      <w:pPr>
        <w:shd w:val="clear" w:color="auto" w:fill="FFFFFF"/>
        <w:spacing w:beforeAutospacing="1" w:after="100" w:afterAutospacing="1" w:line="240" w:lineRule="auto"/>
        <w:outlineLvl w:val="0"/>
        <w:rPr>
          <w:rFonts w:ascii="Arial" w:eastAsia="Times New Roman" w:hAnsi="Arial" w:cs="Arial"/>
          <w:color w:val="1F2B50"/>
          <w:kern w:val="36"/>
          <w:sz w:val="48"/>
          <w:szCs w:val="48"/>
          <w:lang w:eastAsia="fr-FR"/>
        </w:rPr>
      </w:pPr>
      <w:r w:rsidRPr="00680492">
        <w:rPr>
          <w:rFonts w:ascii="Arial" w:eastAsia="Times New Roman" w:hAnsi="Arial" w:cs="Arial"/>
          <w:color w:val="1F2B50"/>
          <w:kern w:val="36"/>
          <w:sz w:val="48"/>
          <w:szCs w:val="48"/>
          <w:lang w:eastAsia="fr-FR"/>
        </w:rPr>
        <w:t>La taxe d’aménagement : mode de calcul et exonérations possibles</w:t>
      </w:r>
    </w:p>
    <w:p w14:paraId="39459733" w14:textId="77777777" w:rsidR="00680492" w:rsidRPr="00680492" w:rsidRDefault="00680492" w:rsidP="00680492">
      <w:pPr>
        <w:shd w:val="clear" w:color="auto" w:fill="FFFFFF"/>
        <w:spacing w:beforeAutospacing="1"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Par </w:t>
      </w:r>
      <w:hyperlink r:id="rId5" w:tgtFrame="_blank" w:tooltip="« https://economie.gouv.fr/entreprises/bercy-infos-qui-sommes-nous » dans une nouvelle fenêtre" w:history="1">
        <w:r w:rsidRPr="00680492">
          <w:rPr>
            <w:rFonts w:ascii="Roboto" w:eastAsia="Times New Roman" w:hAnsi="Roboto" w:cs="Times New Roman"/>
            <w:color w:val="126F7F"/>
            <w:sz w:val="25"/>
            <w:szCs w:val="25"/>
            <w:u w:val="single"/>
            <w:lang w:eastAsia="fr-FR"/>
          </w:rPr>
          <w:t>Bercy Infos</w:t>
        </w:r>
      </w:hyperlink>
      <w:r w:rsidRPr="00680492">
        <w:rPr>
          <w:rFonts w:ascii="Roboto" w:eastAsia="Times New Roman" w:hAnsi="Roboto" w:cs="Times New Roman"/>
          <w:color w:val="212529"/>
          <w:sz w:val="25"/>
          <w:szCs w:val="25"/>
          <w:lang w:eastAsia="fr-FR"/>
        </w:rPr>
        <w:t>, le 20/01/2020 - </w:t>
      </w:r>
      <w:hyperlink r:id="rId6" w:history="1">
        <w:r w:rsidRPr="00680492">
          <w:rPr>
            <w:rFonts w:ascii="Roboto" w:eastAsia="Times New Roman" w:hAnsi="Roboto" w:cs="Times New Roman"/>
            <w:color w:val="126F7F"/>
            <w:sz w:val="25"/>
            <w:szCs w:val="25"/>
            <w:u w:val="single"/>
            <w:lang w:eastAsia="fr-FR"/>
          </w:rPr>
          <w:t>Autres impôts</w:t>
        </w:r>
      </w:hyperlink>
    </w:p>
    <w:p w14:paraId="3DC66428" w14:textId="1A0C19A5"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 xml:space="preserve">Vous souhaitez construire un abri dans votre jardin, une terrasse, une piscine ? Vous serez </w:t>
      </w:r>
      <w:r w:rsidRPr="00680492">
        <w:rPr>
          <w:rFonts w:ascii="Roboto" w:eastAsia="Times New Roman" w:hAnsi="Roboto" w:cs="Times New Roman"/>
          <w:color w:val="212529"/>
          <w:sz w:val="25"/>
          <w:szCs w:val="25"/>
          <w:lang w:eastAsia="fr-FR"/>
        </w:rPr>
        <w:t>peut-être</w:t>
      </w:r>
      <w:r w:rsidRPr="00680492">
        <w:rPr>
          <w:rFonts w:ascii="Roboto" w:eastAsia="Times New Roman" w:hAnsi="Roboto" w:cs="Times New Roman"/>
          <w:color w:val="212529"/>
          <w:sz w:val="25"/>
          <w:szCs w:val="25"/>
          <w:lang w:eastAsia="fr-FR"/>
        </w:rPr>
        <w:t xml:space="preserve"> redevable de la taxe d’aménagement. Quels sont les tarifs de cette taxe ? Quelles sont les exonérations possibles ?</w:t>
      </w:r>
    </w:p>
    <w:p w14:paraId="7EFD2A32" w14:textId="77777777" w:rsidR="00680492" w:rsidRPr="00680492" w:rsidRDefault="00680492" w:rsidP="00680492">
      <w:pPr>
        <w:shd w:val="clear" w:color="auto" w:fill="FFFFFF"/>
        <w:spacing w:before="100" w:beforeAutospacing="1" w:after="100" w:afterAutospacing="1" w:line="240" w:lineRule="auto"/>
        <w:outlineLvl w:val="1"/>
        <w:rPr>
          <w:rFonts w:ascii="Arial" w:eastAsia="Times New Roman" w:hAnsi="Arial" w:cs="Arial"/>
          <w:color w:val="5A4B5F"/>
          <w:sz w:val="36"/>
          <w:szCs w:val="36"/>
          <w:lang w:eastAsia="fr-FR"/>
        </w:rPr>
      </w:pPr>
      <w:r w:rsidRPr="00680492">
        <w:rPr>
          <w:rFonts w:ascii="Arial" w:eastAsia="Times New Roman" w:hAnsi="Arial" w:cs="Arial"/>
          <w:color w:val="5A4B5F"/>
          <w:sz w:val="36"/>
          <w:szCs w:val="36"/>
          <w:lang w:eastAsia="fr-FR"/>
        </w:rPr>
        <w:t>La taxe d’aménagement, qu’est-ce que c’est ?</w:t>
      </w:r>
    </w:p>
    <w:p w14:paraId="5148ADEF"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La taxe d’aménagement est un impôt local perçue par la commune, le département et la région sur toutes les opérations de construction, reconstruction ou agrandissement de bâtiments que vous pouvez faire sur votre terrain dès lors qu’elles nécessitent une autorisation d’urbanisme (permis de construire ou autorisation préalable).</w:t>
      </w:r>
    </w:p>
    <w:p w14:paraId="6C4587B5" w14:textId="77777777" w:rsidR="00680492" w:rsidRPr="00680492" w:rsidRDefault="00680492" w:rsidP="00680492">
      <w:pPr>
        <w:shd w:val="clear" w:color="auto" w:fill="E6E6EA"/>
        <w:spacing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b/>
          <w:bCs/>
          <w:color w:val="212529"/>
          <w:sz w:val="25"/>
          <w:szCs w:val="25"/>
          <w:lang w:eastAsia="fr-FR"/>
        </w:rPr>
        <w:t>Lire aussi </w:t>
      </w:r>
      <w:r w:rsidRPr="00680492">
        <w:rPr>
          <w:rFonts w:ascii="Roboto" w:eastAsia="Times New Roman" w:hAnsi="Roboto" w:cs="Times New Roman"/>
          <w:color w:val="212529"/>
          <w:sz w:val="25"/>
          <w:szCs w:val="25"/>
          <w:lang w:eastAsia="fr-FR"/>
        </w:rPr>
        <w:t>: </w:t>
      </w:r>
      <w:hyperlink r:id="rId7" w:history="1">
        <w:r w:rsidRPr="00680492">
          <w:rPr>
            <w:rFonts w:ascii="Roboto" w:eastAsia="Times New Roman" w:hAnsi="Roboto" w:cs="Times New Roman"/>
            <w:color w:val="126F7F"/>
            <w:sz w:val="25"/>
            <w:szCs w:val="25"/>
            <w:u w:val="single"/>
            <w:lang w:eastAsia="fr-FR"/>
          </w:rPr>
          <w:t>Impôts locaux : lesquels vous concernent ?</w:t>
        </w:r>
      </w:hyperlink>
    </w:p>
    <w:p w14:paraId="42741B72" w14:textId="77777777" w:rsidR="00680492" w:rsidRPr="00680492" w:rsidRDefault="00680492" w:rsidP="00680492">
      <w:pPr>
        <w:shd w:val="clear" w:color="auto" w:fill="FFFFFF"/>
        <w:spacing w:before="100" w:beforeAutospacing="1" w:after="100" w:afterAutospacing="1" w:line="240" w:lineRule="auto"/>
        <w:outlineLvl w:val="1"/>
        <w:rPr>
          <w:rFonts w:ascii="Arial" w:eastAsia="Times New Roman" w:hAnsi="Arial" w:cs="Arial"/>
          <w:color w:val="5A4B5F"/>
          <w:sz w:val="36"/>
          <w:szCs w:val="36"/>
          <w:lang w:eastAsia="fr-FR"/>
        </w:rPr>
      </w:pPr>
      <w:r w:rsidRPr="00680492">
        <w:rPr>
          <w:rFonts w:ascii="Arial" w:eastAsia="Times New Roman" w:hAnsi="Arial" w:cs="Arial"/>
          <w:color w:val="5A4B5F"/>
          <w:sz w:val="36"/>
          <w:szCs w:val="36"/>
          <w:lang w:eastAsia="fr-FR"/>
        </w:rPr>
        <w:t>La taxe d’aménagement : quelles sont les surfaces concernées ?</w:t>
      </w:r>
    </w:p>
    <w:p w14:paraId="7B4DC571"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La taxe d’aménagement est due pour toutes les surfaces de plancher des constructions closes et couvertes dont la superficie est supérieure à </w:t>
      </w:r>
      <w:r w:rsidRPr="00680492">
        <w:rPr>
          <w:rFonts w:ascii="Arial" w:eastAsia="Times New Roman" w:hAnsi="Arial" w:cs="Arial"/>
          <w:b/>
          <w:bCs/>
          <w:color w:val="212529"/>
          <w:sz w:val="25"/>
          <w:szCs w:val="25"/>
          <w:lang w:eastAsia="fr-FR"/>
        </w:rPr>
        <w:t>5 m</w:t>
      </w:r>
      <w:r w:rsidRPr="00680492">
        <w:rPr>
          <w:rFonts w:ascii="Arial" w:eastAsia="Times New Roman" w:hAnsi="Arial" w:cs="Arial"/>
          <w:b/>
          <w:bCs/>
          <w:color w:val="212529"/>
          <w:sz w:val="19"/>
          <w:szCs w:val="19"/>
          <w:vertAlign w:val="superscript"/>
          <w:lang w:eastAsia="fr-FR"/>
        </w:rPr>
        <w:t>2</w:t>
      </w:r>
      <w:r w:rsidRPr="00680492">
        <w:rPr>
          <w:rFonts w:ascii="Roboto" w:eastAsia="Times New Roman" w:hAnsi="Roboto" w:cs="Times New Roman"/>
          <w:color w:val="212529"/>
          <w:sz w:val="25"/>
          <w:szCs w:val="25"/>
          <w:lang w:eastAsia="fr-FR"/>
        </w:rPr>
        <w:t> et d’une hauteur de plafond supérieure ou égale à </w:t>
      </w:r>
      <w:r w:rsidRPr="00680492">
        <w:rPr>
          <w:rFonts w:ascii="Arial" w:eastAsia="Times New Roman" w:hAnsi="Arial" w:cs="Arial"/>
          <w:b/>
          <w:bCs/>
          <w:color w:val="212529"/>
          <w:sz w:val="25"/>
          <w:szCs w:val="25"/>
          <w:lang w:eastAsia="fr-FR"/>
        </w:rPr>
        <w:t>1,80 mètre</w:t>
      </w:r>
      <w:r w:rsidRPr="00680492">
        <w:rPr>
          <w:rFonts w:ascii="Roboto" w:eastAsia="Times New Roman" w:hAnsi="Roboto" w:cs="Times New Roman"/>
          <w:color w:val="212529"/>
          <w:sz w:val="25"/>
          <w:szCs w:val="25"/>
          <w:lang w:eastAsia="fr-FR"/>
        </w:rPr>
        <w:t>, y compris les combles et les caves.</w:t>
      </w:r>
    </w:p>
    <w:p w14:paraId="719C88DE"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Les abris de jardin (même démontables) ou tout autre annexe que vous seriez susceptible de construire à l’extérieur de votre maison entrent aussi dans le champ de la taxe d'aménagement.</w:t>
      </w:r>
    </w:p>
    <w:p w14:paraId="1D3BA091" w14:textId="611ADA94"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 xml:space="preserve">Les bâtiments non couverts tels les terrasses ou ouverts sur l’extérieur comme les pergolas sont </w:t>
      </w:r>
      <w:r w:rsidRPr="00680492">
        <w:rPr>
          <w:rFonts w:ascii="Roboto" w:eastAsia="Times New Roman" w:hAnsi="Roboto" w:cs="Times New Roman"/>
          <w:color w:val="212529"/>
          <w:sz w:val="25"/>
          <w:szCs w:val="25"/>
          <w:lang w:eastAsia="fr-FR"/>
        </w:rPr>
        <w:t>exclues</w:t>
      </w:r>
      <w:r w:rsidRPr="00680492">
        <w:rPr>
          <w:rFonts w:ascii="Roboto" w:eastAsia="Times New Roman" w:hAnsi="Roboto" w:cs="Times New Roman"/>
          <w:color w:val="212529"/>
          <w:sz w:val="25"/>
          <w:szCs w:val="25"/>
          <w:lang w:eastAsia="fr-FR"/>
        </w:rPr>
        <w:t xml:space="preserve"> de la surface taxable.</w:t>
      </w:r>
    </w:p>
    <w:p w14:paraId="138B8E28"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Certains aménagements comme les piscines et les panneaux solaires, bien qu'exclus de la surface taxable, sont toutefois soumis à la taxe d'aménagement de façon forfaitaire.</w:t>
      </w:r>
    </w:p>
    <w:p w14:paraId="6BD93FD6" w14:textId="77777777" w:rsidR="00680492" w:rsidRPr="00680492" w:rsidRDefault="00680492" w:rsidP="00680492">
      <w:pPr>
        <w:shd w:val="clear" w:color="auto" w:fill="E6E6EA"/>
        <w:spacing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b/>
          <w:bCs/>
          <w:color w:val="212529"/>
          <w:sz w:val="25"/>
          <w:szCs w:val="25"/>
          <w:lang w:eastAsia="fr-FR"/>
        </w:rPr>
        <w:t>Lire aussi</w:t>
      </w:r>
      <w:r w:rsidRPr="00680492">
        <w:rPr>
          <w:rFonts w:ascii="Roboto" w:eastAsia="Times New Roman" w:hAnsi="Roboto" w:cs="Times New Roman"/>
          <w:color w:val="212529"/>
          <w:sz w:val="25"/>
          <w:szCs w:val="25"/>
          <w:lang w:eastAsia="fr-FR"/>
        </w:rPr>
        <w:t> : </w:t>
      </w:r>
      <w:hyperlink r:id="rId8" w:history="1">
        <w:r w:rsidRPr="00680492">
          <w:rPr>
            <w:rFonts w:ascii="Roboto" w:eastAsia="Times New Roman" w:hAnsi="Roboto" w:cs="Times New Roman"/>
            <w:color w:val="126F7F"/>
            <w:sz w:val="25"/>
            <w:szCs w:val="25"/>
            <w:u w:val="single"/>
            <w:lang w:eastAsia="fr-FR"/>
          </w:rPr>
          <w:t>La taxe d'habitation : comment ça marche ?</w:t>
        </w:r>
      </w:hyperlink>
    </w:p>
    <w:p w14:paraId="0872F480" w14:textId="77777777" w:rsidR="00680492" w:rsidRPr="00680492" w:rsidRDefault="00680492" w:rsidP="00680492">
      <w:pPr>
        <w:shd w:val="clear" w:color="auto" w:fill="FFFFFF"/>
        <w:spacing w:before="100" w:beforeAutospacing="1" w:after="100" w:afterAutospacing="1" w:line="240" w:lineRule="auto"/>
        <w:outlineLvl w:val="1"/>
        <w:rPr>
          <w:rFonts w:ascii="Arial" w:eastAsia="Times New Roman" w:hAnsi="Arial" w:cs="Arial"/>
          <w:color w:val="5A4B5F"/>
          <w:sz w:val="36"/>
          <w:szCs w:val="36"/>
          <w:lang w:eastAsia="fr-FR"/>
        </w:rPr>
      </w:pPr>
      <w:r w:rsidRPr="00680492">
        <w:rPr>
          <w:rFonts w:ascii="Arial" w:eastAsia="Times New Roman" w:hAnsi="Arial" w:cs="Arial"/>
          <w:color w:val="5A4B5F"/>
          <w:sz w:val="36"/>
          <w:szCs w:val="36"/>
          <w:lang w:eastAsia="fr-FR"/>
        </w:rPr>
        <w:t>Quels sont les tarifs de la taxe d’aménagement ?</w:t>
      </w:r>
    </w:p>
    <w:p w14:paraId="3D1A7A70"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lastRenderedPageBreak/>
        <w:t>Pour calculer le montant de la taxe d’aménagement, il faut multiplier la surface taxable par la valeur déterminée par m</w:t>
      </w:r>
      <w:r w:rsidRPr="00680492">
        <w:rPr>
          <w:rFonts w:ascii="Roboto" w:eastAsia="Times New Roman" w:hAnsi="Roboto" w:cs="Times New Roman"/>
          <w:color w:val="212529"/>
          <w:sz w:val="19"/>
          <w:szCs w:val="19"/>
          <w:vertAlign w:val="superscript"/>
          <w:lang w:eastAsia="fr-FR"/>
        </w:rPr>
        <w:t>2</w:t>
      </w:r>
      <w:r w:rsidRPr="00680492">
        <w:rPr>
          <w:rFonts w:ascii="Roboto" w:eastAsia="Times New Roman" w:hAnsi="Roboto" w:cs="Times New Roman"/>
          <w:color w:val="212529"/>
          <w:sz w:val="25"/>
          <w:szCs w:val="25"/>
          <w:lang w:eastAsia="fr-FR"/>
        </w:rPr>
        <w:t> de surface, puis multiplier ce résultat par le taux voté par la collectivité territoriale.</w:t>
      </w:r>
    </w:p>
    <w:p w14:paraId="3BD7ED69"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Les valeurs annuelles par m</w:t>
      </w:r>
      <w:r w:rsidRPr="00680492">
        <w:rPr>
          <w:rFonts w:ascii="Roboto" w:eastAsia="Times New Roman" w:hAnsi="Roboto" w:cs="Times New Roman"/>
          <w:color w:val="212529"/>
          <w:sz w:val="19"/>
          <w:szCs w:val="19"/>
          <w:vertAlign w:val="superscript"/>
          <w:lang w:eastAsia="fr-FR"/>
        </w:rPr>
        <w:t>2 </w:t>
      </w:r>
      <w:r w:rsidRPr="00680492">
        <w:rPr>
          <w:rFonts w:ascii="Roboto" w:eastAsia="Times New Roman" w:hAnsi="Roboto" w:cs="Times New Roman"/>
          <w:color w:val="212529"/>
          <w:sz w:val="25"/>
          <w:szCs w:val="25"/>
          <w:lang w:eastAsia="fr-FR"/>
        </w:rPr>
        <w:t>de surface sont définies par arrêté. En </w:t>
      </w:r>
      <w:r w:rsidRPr="00680492">
        <w:rPr>
          <w:rFonts w:ascii="Arial" w:eastAsia="Times New Roman" w:hAnsi="Arial" w:cs="Arial"/>
          <w:b/>
          <w:bCs/>
          <w:color w:val="212529"/>
          <w:sz w:val="25"/>
          <w:szCs w:val="25"/>
          <w:lang w:eastAsia="fr-FR"/>
        </w:rPr>
        <w:t>2020</w:t>
      </w:r>
      <w:r w:rsidRPr="00680492">
        <w:rPr>
          <w:rFonts w:ascii="Roboto" w:eastAsia="Times New Roman" w:hAnsi="Roboto" w:cs="Times New Roman"/>
          <w:color w:val="212529"/>
          <w:sz w:val="25"/>
          <w:szCs w:val="25"/>
          <w:lang w:eastAsia="fr-FR"/>
        </w:rPr>
        <w:t>, les montants fixés sont les suivants :</w:t>
      </w:r>
    </w:p>
    <w:p w14:paraId="65BB9D00" w14:textId="77777777" w:rsidR="00680492" w:rsidRPr="00680492" w:rsidRDefault="00680492" w:rsidP="00680492">
      <w:pPr>
        <w:numPr>
          <w:ilvl w:val="0"/>
          <w:numId w:val="1"/>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b/>
          <w:bCs/>
          <w:color w:val="212529"/>
          <w:sz w:val="25"/>
          <w:szCs w:val="25"/>
          <w:lang w:eastAsia="fr-FR"/>
        </w:rPr>
        <w:t>759 € par m</w:t>
      </w:r>
      <w:r w:rsidRPr="00680492">
        <w:rPr>
          <w:rFonts w:ascii="Arial" w:eastAsia="Times New Roman" w:hAnsi="Arial" w:cs="Arial"/>
          <w:b/>
          <w:bCs/>
          <w:color w:val="212529"/>
          <w:sz w:val="19"/>
          <w:szCs w:val="19"/>
          <w:vertAlign w:val="superscript"/>
          <w:lang w:eastAsia="fr-FR"/>
        </w:rPr>
        <w:t>2</w:t>
      </w:r>
      <w:r w:rsidRPr="00680492">
        <w:rPr>
          <w:rFonts w:ascii="Roboto" w:eastAsia="Times New Roman" w:hAnsi="Roboto" w:cs="Times New Roman"/>
          <w:color w:val="212529"/>
          <w:sz w:val="25"/>
          <w:szCs w:val="25"/>
          <w:lang w:eastAsia="fr-FR"/>
        </w:rPr>
        <w:t> en province, hors Île-De-France</w:t>
      </w:r>
    </w:p>
    <w:p w14:paraId="6982EA41" w14:textId="77777777" w:rsidR="00680492" w:rsidRPr="00680492" w:rsidRDefault="00680492" w:rsidP="00680492">
      <w:pPr>
        <w:numPr>
          <w:ilvl w:val="0"/>
          <w:numId w:val="1"/>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b/>
          <w:bCs/>
          <w:color w:val="212529"/>
          <w:sz w:val="25"/>
          <w:szCs w:val="25"/>
          <w:lang w:eastAsia="fr-FR"/>
        </w:rPr>
        <w:t>860 € par m</w:t>
      </w:r>
      <w:r w:rsidRPr="00680492">
        <w:rPr>
          <w:rFonts w:ascii="Arial" w:eastAsia="Times New Roman" w:hAnsi="Arial" w:cs="Arial"/>
          <w:b/>
          <w:bCs/>
          <w:color w:val="212529"/>
          <w:sz w:val="19"/>
          <w:szCs w:val="19"/>
          <w:vertAlign w:val="superscript"/>
          <w:lang w:eastAsia="fr-FR"/>
        </w:rPr>
        <w:t>2</w:t>
      </w:r>
      <w:r w:rsidRPr="00680492">
        <w:rPr>
          <w:rFonts w:ascii="Roboto" w:eastAsia="Times New Roman" w:hAnsi="Roboto" w:cs="Times New Roman"/>
          <w:color w:val="212529"/>
          <w:sz w:val="25"/>
          <w:szCs w:val="25"/>
          <w:lang w:eastAsia="fr-FR"/>
        </w:rPr>
        <w:t> en Île-De-France</w:t>
      </w:r>
    </w:p>
    <w:p w14:paraId="5E61B6F9"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Les piscines et les panneaux solaires font l'objet d'une taxation forfaitaire spécifique :</w:t>
      </w:r>
    </w:p>
    <w:p w14:paraId="65B555DB" w14:textId="77777777" w:rsidR="00680492" w:rsidRPr="00680492" w:rsidRDefault="00680492" w:rsidP="00680492">
      <w:pPr>
        <w:numPr>
          <w:ilvl w:val="0"/>
          <w:numId w:val="2"/>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b/>
          <w:bCs/>
          <w:color w:val="212529"/>
          <w:sz w:val="25"/>
          <w:szCs w:val="25"/>
          <w:lang w:eastAsia="fr-FR"/>
        </w:rPr>
        <w:t>200 € par m</w:t>
      </w:r>
      <w:r w:rsidRPr="00680492">
        <w:rPr>
          <w:rFonts w:ascii="Arial" w:eastAsia="Times New Roman" w:hAnsi="Arial" w:cs="Arial"/>
          <w:b/>
          <w:bCs/>
          <w:color w:val="212529"/>
          <w:sz w:val="19"/>
          <w:szCs w:val="19"/>
          <w:vertAlign w:val="superscript"/>
          <w:lang w:eastAsia="fr-FR"/>
        </w:rPr>
        <w:t>2</w:t>
      </w:r>
      <w:r w:rsidRPr="00680492">
        <w:rPr>
          <w:rFonts w:ascii="Arial" w:eastAsia="Times New Roman" w:hAnsi="Arial" w:cs="Arial"/>
          <w:b/>
          <w:bCs/>
          <w:color w:val="212529"/>
          <w:sz w:val="25"/>
          <w:szCs w:val="25"/>
          <w:lang w:eastAsia="fr-FR"/>
        </w:rPr>
        <w:t> </w:t>
      </w:r>
      <w:r w:rsidRPr="00680492">
        <w:rPr>
          <w:rFonts w:ascii="Roboto" w:eastAsia="Times New Roman" w:hAnsi="Roboto" w:cs="Times New Roman"/>
          <w:color w:val="212529"/>
          <w:sz w:val="25"/>
          <w:szCs w:val="25"/>
          <w:lang w:eastAsia="fr-FR"/>
        </w:rPr>
        <w:t>de piscine</w:t>
      </w:r>
    </w:p>
    <w:p w14:paraId="78ABA5DF" w14:textId="77777777" w:rsidR="00680492" w:rsidRPr="00680492" w:rsidRDefault="00680492" w:rsidP="00680492">
      <w:pPr>
        <w:numPr>
          <w:ilvl w:val="0"/>
          <w:numId w:val="2"/>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b/>
          <w:bCs/>
          <w:color w:val="212529"/>
          <w:sz w:val="25"/>
          <w:szCs w:val="25"/>
          <w:lang w:eastAsia="fr-FR"/>
        </w:rPr>
        <w:t>10 € par m</w:t>
      </w:r>
      <w:r w:rsidRPr="00680492">
        <w:rPr>
          <w:rFonts w:ascii="Arial" w:eastAsia="Times New Roman" w:hAnsi="Arial" w:cs="Arial"/>
          <w:b/>
          <w:bCs/>
          <w:color w:val="212529"/>
          <w:sz w:val="19"/>
          <w:szCs w:val="19"/>
          <w:vertAlign w:val="superscript"/>
          <w:lang w:eastAsia="fr-FR"/>
        </w:rPr>
        <w:t>2</w:t>
      </w:r>
      <w:r w:rsidRPr="00680492">
        <w:rPr>
          <w:rFonts w:ascii="Arial" w:eastAsia="Times New Roman" w:hAnsi="Arial" w:cs="Arial"/>
          <w:b/>
          <w:bCs/>
          <w:color w:val="212529"/>
          <w:sz w:val="25"/>
          <w:szCs w:val="25"/>
          <w:lang w:eastAsia="fr-FR"/>
        </w:rPr>
        <w:t> </w:t>
      </w:r>
      <w:r w:rsidRPr="00680492">
        <w:rPr>
          <w:rFonts w:ascii="Roboto" w:eastAsia="Times New Roman" w:hAnsi="Roboto" w:cs="Times New Roman"/>
          <w:color w:val="212529"/>
          <w:sz w:val="25"/>
          <w:szCs w:val="25"/>
          <w:lang w:eastAsia="fr-FR"/>
        </w:rPr>
        <w:t>de surface panneau</w:t>
      </w:r>
    </w:p>
    <w:p w14:paraId="6C074AC1"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Les taux de la taxe d’aménagement sont établis par les collectivités territoriales.</w:t>
      </w:r>
    </w:p>
    <w:p w14:paraId="6ECBB9EF"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 ministère de la cohésion sociale et des territoires a élaboré un outil de recherche permettant de trouver les taux nécessaires au calcul de la taxe d'aménagement via un simulateur.</w:t>
      </w:r>
    </w:p>
    <w:p w14:paraId="18A8EE5A" w14:textId="77777777" w:rsidR="00680492" w:rsidRPr="00680492" w:rsidRDefault="00680492" w:rsidP="00680492">
      <w:pPr>
        <w:shd w:val="clear" w:color="auto" w:fill="FFFFFF"/>
        <w:spacing w:after="100" w:afterAutospacing="1" w:line="240" w:lineRule="auto"/>
        <w:jc w:val="center"/>
        <w:rPr>
          <w:rFonts w:ascii="Roboto" w:eastAsia="Times New Roman" w:hAnsi="Roboto" w:cs="Times New Roman"/>
          <w:color w:val="212529"/>
          <w:sz w:val="25"/>
          <w:szCs w:val="25"/>
          <w:lang w:eastAsia="fr-FR"/>
        </w:rPr>
      </w:pPr>
      <w:hyperlink r:id="rId9" w:tgtFrame="_blank" w:tooltip="« cohesion-territoires.gouv.fr » dans une nouvelle fenêtre" w:history="1">
        <w:r w:rsidRPr="00680492">
          <w:rPr>
            <w:rFonts w:ascii="inherit" w:eastAsia="Times New Roman" w:hAnsi="inherit" w:cs="Times New Roman"/>
            <w:color w:val="FFFFFF"/>
            <w:sz w:val="25"/>
            <w:szCs w:val="25"/>
            <w:u w:val="single"/>
            <w:bdr w:val="none" w:sz="0" w:space="0" w:color="auto" w:frame="1"/>
            <w:shd w:val="clear" w:color="auto" w:fill="126F7F"/>
            <w:lang w:eastAsia="fr-FR"/>
          </w:rPr>
          <w:t>Simulateur de la taxe d'aménagement</w:t>
        </w:r>
      </w:hyperlink>
    </w:p>
    <w:p w14:paraId="23CCB529" w14:textId="77777777" w:rsidR="00680492" w:rsidRPr="00680492" w:rsidRDefault="00680492" w:rsidP="00680492">
      <w:pPr>
        <w:shd w:val="clear" w:color="auto" w:fill="E6E6EA"/>
        <w:spacing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b/>
          <w:bCs/>
          <w:color w:val="212529"/>
          <w:sz w:val="25"/>
          <w:szCs w:val="25"/>
          <w:lang w:eastAsia="fr-FR"/>
        </w:rPr>
        <w:t>Lire aussi</w:t>
      </w:r>
      <w:r w:rsidRPr="00680492">
        <w:rPr>
          <w:rFonts w:ascii="Roboto" w:eastAsia="Times New Roman" w:hAnsi="Roboto" w:cs="Times New Roman"/>
          <w:color w:val="212529"/>
          <w:sz w:val="25"/>
          <w:szCs w:val="25"/>
          <w:lang w:eastAsia="fr-FR"/>
        </w:rPr>
        <w:t> : </w:t>
      </w:r>
      <w:hyperlink r:id="rId10" w:history="1">
        <w:r w:rsidRPr="00680492">
          <w:rPr>
            <w:rFonts w:ascii="Roboto" w:eastAsia="Times New Roman" w:hAnsi="Roboto" w:cs="Times New Roman"/>
            <w:color w:val="126F7F"/>
            <w:sz w:val="25"/>
            <w:szCs w:val="25"/>
            <w:u w:val="single"/>
            <w:lang w:eastAsia="fr-FR"/>
          </w:rPr>
          <w:t>Suppression de la taxe d'habitation : combien allez-vous gagner ?</w:t>
        </w:r>
      </w:hyperlink>
    </w:p>
    <w:p w14:paraId="7F4E9DCA" w14:textId="7981DCF6" w:rsidR="00680492" w:rsidRPr="00680492" w:rsidRDefault="00680492" w:rsidP="00680492">
      <w:pPr>
        <w:shd w:val="clear" w:color="auto" w:fill="FFFFFF"/>
        <w:spacing w:before="100" w:beforeAutospacing="1" w:after="100" w:afterAutospacing="1" w:line="240" w:lineRule="auto"/>
        <w:outlineLvl w:val="1"/>
        <w:rPr>
          <w:rFonts w:ascii="Arial" w:eastAsia="Times New Roman" w:hAnsi="Arial" w:cs="Arial"/>
          <w:color w:val="5A4B5F"/>
          <w:sz w:val="36"/>
          <w:szCs w:val="36"/>
          <w:lang w:eastAsia="fr-FR"/>
        </w:rPr>
      </w:pPr>
      <w:r w:rsidRPr="00680492">
        <w:rPr>
          <w:rFonts w:ascii="Arial" w:eastAsia="Times New Roman" w:hAnsi="Arial" w:cs="Arial"/>
          <w:color w:val="5A4B5F"/>
          <w:sz w:val="36"/>
          <w:szCs w:val="36"/>
          <w:lang w:eastAsia="fr-FR"/>
        </w:rPr>
        <w:t xml:space="preserve">Taxe </w:t>
      </w:r>
      <w:r w:rsidRPr="00680492">
        <w:rPr>
          <w:rFonts w:ascii="Arial" w:eastAsia="Times New Roman" w:hAnsi="Arial" w:cs="Arial"/>
          <w:color w:val="5A4B5F"/>
          <w:sz w:val="36"/>
          <w:szCs w:val="36"/>
          <w:lang w:eastAsia="fr-FR"/>
        </w:rPr>
        <w:t>d’aménagement :</w:t>
      </w:r>
      <w:r w:rsidRPr="00680492">
        <w:rPr>
          <w:rFonts w:ascii="Arial" w:eastAsia="Times New Roman" w:hAnsi="Arial" w:cs="Arial"/>
          <w:color w:val="5A4B5F"/>
          <w:sz w:val="36"/>
          <w:szCs w:val="36"/>
          <w:lang w:eastAsia="fr-FR"/>
        </w:rPr>
        <w:t xml:space="preserve"> les réductions et exonérations possibles</w:t>
      </w:r>
    </w:p>
    <w:p w14:paraId="06083B8F" w14:textId="77777777" w:rsidR="00680492" w:rsidRPr="00680492" w:rsidRDefault="00680492" w:rsidP="00680492">
      <w:pPr>
        <w:shd w:val="clear" w:color="auto" w:fill="FFFFFF"/>
        <w:spacing w:after="100" w:afterAutospacing="1" w:line="240" w:lineRule="auto"/>
        <w:outlineLvl w:val="2"/>
        <w:rPr>
          <w:rFonts w:ascii="Roboto" w:eastAsia="Times New Roman" w:hAnsi="Roboto" w:cs="Times New Roman"/>
          <w:b/>
          <w:bCs/>
          <w:color w:val="5A4B5F"/>
          <w:sz w:val="27"/>
          <w:szCs w:val="27"/>
          <w:lang w:eastAsia="fr-FR"/>
        </w:rPr>
      </w:pPr>
      <w:r w:rsidRPr="00680492">
        <w:rPr>
          <w:rFonts w:ascii="Roboto" w:eastAsia="Times New Roman" w:hAnsi="Roboto" w:cs="Times New Roman"/>
          <w:b/>
          <w:bCs/>
          <w:color w:val="5A4B5F"/>
          <w:sz w:val="27"/>
          <w:szCs w:val="27"/>
          <w:lang w:eastAsia="fr-FR"/>
        </w:rPr>
        <w:t>Taxe d'aménagement : les réductions possibles</w:t>
      </w:r>
    </w:p>
    <w:p w14:paraId="04E18317"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Certaines constructions ouvrent droit à un abattement de </w:t>
      </w:r>
      <w:r w:rsidRPr="00680492">
        <w:rPr>
          <w:rFonts w:ascii="Arial" w:eastAsia="Times New Roman" w:hAnsi="Arial" w:cs="Arial"/>
          <w:b/>
          <w:bCs/>
          <w:color w:val="212529"/>
          <w:sz w:val="25"/>
          <w:szCs w:val="25"/>
          <w:lang w:eastAsia="fr-FR"/>
        </w:rPr>
        <w:t>50 %</w:t>
      </w:r>
      <w:r w:rsidRPr="00680492">
        <w:rPr>
          <w:rFonts w:ascii="Roboto" w:eastAsia="Times New Roman" w:hAnsi="Roboto" w:cs="Times New Roman"/>
          <w:color w:val="212529"/>
          <w:sz w:val="25"/>
          <w:szCs w:val="25"/>
          <w:lang w:eastAsia="fr-FR"/>
        </w:rPr>
        <w:t>. Sont notamment concernés :</w:t>
      </w:r>
    </w:p>
    <w:p w14:paraId="5A6ECE4A" w14:textId="77777777" w:rsidR="00680492" w:rsidRPr="00680492" w:rsidRDefault="00680492" w:rsidP="00680492">
      <w:pPr>
        <w:numPr>
          <w:ilvl w:val="0"/>
          <w:numId w:val="3"/>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proofErr w:type="gramStart"/>
      <w:r w:rsidRPr="00680492">
        <w:rPr>
          <w:rFonts w:ascii="Roboto" w:eastAsia="Times New Roman" w:hAnsi="Roboto" w:cs="Times New Roman"/>
          <w:color w:val="212529"/>
          <w:sz w:val="25"/>
          <w:szCs w:val="25"/>
          <w:lang w:eastAsia="fr-FR"/>
        </w:rPr>
        <w:t>les</w:t>
      </w:r>
      <w:proofErr w:type="gramEnd"/>
      <w:r w:rsidRPr="00680492">
        <w:rPr>
          <w:rFonts w:ascii="Roboto" w:eastAsia="Times New Roman" w:hAnsi="Roboto" w:cs="Times New Roman"/>
          <w:color w:val="212529"/>
          <w:sz w:val="25"/>
          <w:szCs w:val="25"/>
          <w:lang w:eastAsia="fr-FR"/>
        </w:rPr>
        <w:t xml:space="preserve"> 100 premiers m</w:t>
      </w:r>
      <w:r w:rsidRPr="00680492">
        <w:rPr>
          <w:rFonts w:ascii="Roboto" w:eastAsia="Times New Roman" w:hAnsi="Roboto" w:cs="Times New Roman"/>
          <w:color w:val="212529"/>
          <w:sz w:val="19"/>
          <w:szCs w:val="19"/>
          <w:vertAlign w:val="superscript"/>
          <w:lang w:eastAsia="fr-FR"/>
        </w:rPr>
        <w:t>2</w:t>
      </w:r>
      <w:r w:rsidRPr="00680492">
        <w:rPr>
          <w:rFonts w:ascii="Roboto" w:eastAsia="Times New Roman" w:hAnsi="Roboto" w:cs="Times New Roman"/>
          <w:color w:val="212529"/>
          <w:sz w:val="25"/>
          <w:szCs w:val="25"/>
          <w:lang w:eastAsia="fr-FR"/>
        </w:rPr>
        <w:t> de la résidence principale</w:t>
      </w:r>
    </w:p>
    <w:p w14:paraId="67ECCAEA" w14:textId="77777777" w:rsidR="00680492" w:rsidRPr="00680492" w:rsidRDefault="00680492" w:rsidP="00680492">
      <w:pPr>
        <w:numPr>
          <w:ilvl w:val="0"/>
          <w:numId w:val="3"/>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proofErr w:type="gramStart"/>
      <w:r w:rsidRPr="00680492">
        <w:rPr>
          <w:rFonts w:ascii="Roboto" w:eastAsia="Times New Roman" w:hAnsi="Roboto" w:cs="Times New Roman"/>
          <w:color w:val="212529"/>
          <w:sz w:val="25"/>
          <w:szCs w:val="25"/>
          <w:lang w:eastAsia="fr-FR"/>
        </w:rPr>
        <w:t>les</w:t>
      </w:r>
      <w:proofErr w:type="gramEnd"/>
      <w:r w:rsidRPr="00680492">
        <w:rPr>
          <w:rFonts w:ascii="Roboto" w:eastAsia="Times New Roman" w:hAnsi="Roboto" w:cs="Times New Roman"/>
          <w:color w:val="212529"/>
          <w:sz w:val="25"/>
          <w:szCs w:val="25"/>
          <w:lang w:eastAsia="fr-FR"/>
        </w:rPr>
        <w:t xml:space="preserve"> locaux à usage industriel ou artisanal et leurs annexes</w:t>
      </w:r>
    </w:p>
    <w:p w14:paraId="023171A4" w14:textId="77777777" w:rsidR="00680492" w:rsidRPr="00680492" w:rsidRDefault="00680492" w:rsidP="00680492">
      <w:pPr>
        <w:numPr>
          <w:ilvl w:val="0"/>
          <w:numId w:val="3"/>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proofErr w:type="gramStart"/>
      <w:r w:rsidRPr="00680492">
        <w:rPr>
          <w:rFonts w:ascii="Roboto" w:eastAsia="Times New Roman" w:hAnsi="Roboto" w:cs="Times New Roman"/>
          <w:color w:val="212529"/>
          <w:sz w:val="25"/>
          <w:szCs w:val="25"/>
          <w:lang w:eastAsia="fr-FR"/>
        </w:rPr>
        <w:t>les</w:t>
      </w:r>
      <w:proofErr w:type="gramEnd"/>
      <w:r w:rsidRPr="00680492">
        <w:rPr>
          <w:rFonts w:ascii="Roboto" w:eastAsia="Times New Roman" w:hAnsi="Roboto" w:cs="Times New Roman"/>
          <w:color w:val="212529"/>
          <w:sz w:val="25"/>
          <w:szCs w:val="25"/>
          <w:lang w:eastAsia="fr-FR"/>
        </w:rPr>
        <w:t xml:space="preserve"> locaux à usage d'habitation et d'hébergement livrés à des organismes HLM et leurs annexes</w:t>
      </w:r>
    </w:p>
    <w:p w14:paraId="3DE15301" w14:textId="77777777" w:rsidR="00680492" w:rsidRPr="00680492" w:rsidRDefault="00680492" w:rsidP="00680492">
      <w:pPr>
        <w:shd w:val="clear" w:color="auto" w:fill="FFFFFF"/>
        <w:spacing w:after="100" w:afterAutospacing="1" w:line="240" w:lineRule="auto"/>
        <w:outlineLvl w:val="2"/>
        <w:rPr>
          <w:rFonts w:ascii="Roboto" w:eastAsia="Times New Roman" w:hAnsi="Roboto" w:cs="Times New Roman"/>
          <w:b/>
          <w:bCs/>
          <w:color w:val="5A4B5F"/>
          <w:sz w:val="27"/>
          <w:szCs w:val="27"/>
          <w:lang w:eastAsia="fr-FR"/>
        </w:rPr>
      </w:pPr>
      <w:r w:rsidRPr="00680492">
        <w:rPr>
          <w:rFonts w:ascii="Roboto" w:eastAsia="Times New Roman" w:hAnsi="Roboto" w:cs="Times New Roman"/>
          <w:b/>
          <w:bCs/>
          <w:color w:val="5A4B5F"/>
          <w:sz w:val="27"/>
          <w:szCs w:val="27"/>
          <w:lang w:eastAsia="fr-FR"/>
        </w:rPr>
        <w:t>Taxe d'aménagement : les exonérations possibles</w:t>
      </w:r>
    </w:p>
    <w:p w14:paraId="083A3093"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Certaines exonérations sont prévues par le </w:t>
      </w:r>
      <w:hyperlink r:id="rId11" w:tgtFrame="_blank" w:tooltip="« legifrance.gouv.fr » dans une nouvelle fenêtre" w:history="1">
        <w:r w:rsidRPr="00680492">
          <w:rPr>
            <w:rFonts w:ascii="Roboto" w:eastAsia="Times New Roman" w:hAnsi="Roboto" w:cs="Times New Roman"/>
            <w:color w:val="126F7F"/>
            <w:sz w:val="25"/>
            <w:szCs w:val="25"/>
            <w:u w:val="single"/>
            <w:lang w:eastAsia="fr-FR"/>
          </w:rPr>
          <w:t>Code de l'urbanisme</w:t>
        </w:r>
      </w:hyperlink>
      <w:r w:rsidRPr="00680492">
        <w:rPr>
          <w:rFonts w:ascii="Roboto" w:eastAsia="Times New Roman" w:hAnsi="Roboto" w:cs="Times New Roman"/>
          <w:color w:val="212529"/>
          <w:sz w:val="25"/>
          <w:szCs w:val="25"/>
          <w:lang w:eastAsia="fr-FR"/>
        </w:rPr>
        <w:t>. Elles s'appliquent en particulier aux aménagements suivants :</w:t>
      </w:r>
    </w:p>
    <w:p w14:paraId="3B662E66" w14:textId="4D8C767E" w:rsidR="00680492" w:rsidRPr="00680492" w:rsidRDefault="00680492" w:rsidP="00680492">
      <w:pPr>
        <w:numPr>
          <w:ilvl w:val="0"/>
          <w:numId w:val="4"/>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lastRenderedPageBreak/>
        <w:t>Les</w:t>
      </w:r>
      <w:r w:rsidRPr="00680492">
        <w:rPr>
          <w:rFonts w:ascii="Roboto" w:eastAsia="Times New Roman" w:hAnsi="Roboto" w:cs="Times New Roman"/>
          <w:color w:val="212529"/>
          <w:sz w:val="25"/>
          <w:szCs w:val="25"/>
          <w:lang w:eastAsia="fr-FR"/>
        </w:rPr>
        <w:t xml:space="preserve"> petits abris de jardins ou toutes autres constructions d'une superficie inférieure ou égale à 5 m</w:t>
      </w:r>
      <w:r w:rsidRPr="00680492">
        <w:rPr>
          <w:rFonts w:ascii="Roboto" w:eastAsia="Times New Roman" w:hAnsi="Roboto" w:cs="Times New Roman"/>
          <w:color w:val="212529"/>
          <w:sz w:val="19"/>
          <w:szCs w:val="19"/>
          <w:vertAlign w:val="superscript"/>
          <w:lang w:eastAsia="fr-FR"/>
        </w:rPr>
        <w:t>2</w:t>
      </w:r>
      <w:r w:rsidRPr="00680492">
        <w:rPr>
          <w:rFonts w:ascii="Roboto" w:eastAsia="Times New Roman" w:hAnsi="Roboto" w:cs="Times New Roman"/>
          <w:color w:val="212529"/>
          <w:sz w:val="25"/>
          <w:szCs w:val="25"/>
          <w:lang w:eastAsia="fr-FR"/>
        </w:rPr>
        <w:t xml:space="preserve"> non soumis à déclaration préalable ou </w:t>
      </w:r>
      <w:proofErr w:type="spellStart"/>
      <w:r w:rsidRPr="00680492">
        <w:rPr>
          <w:rFonts w:ascii="Roboto" w:eastAsia="Times New Roman" w:hAnsi="Roboto" w:cs="Times New Roman"/>
          <w:color w:val="212529"/>
          <w:sz w:val="25"/>
          <w:szCs w:val="25"/>
          <w:lang w:eastAsia="fr-FR"/>
        </w:rPr>
        <w:t>à</w:t>
      </w:r>
      <w:proofErr w:type="spellEnd"/>
      <w:r w:rsidRPr="00680492">
        <w:rPr>
          <w:rFonts w:ascii="Roboto" w:eastAsia="Times New Roman" w:hAnsi="Roboto" w:cs="Times New Roman"/>
          <w:color w:val="212529"/>
          <w:sz w:val="25"/>
          <w:szCs w:val="25"/>
          <w:lang w:eastAsia="fr-FR"/>
        </w:rPr>
        <w:t xml:space="preserve"> permis de construire</w:t>
      </w:r>
    </w:p>
    <w:p w14:paraId="5A0EE555" w14:textId="4C60C75F" w:rsidR="00680492" w:rsidRPr="00680492" w:rsidRDefault="00680492" w:rsidP="00680492">
      <w:pPr>
        <w:numPr>
          <w:ilvl w:val="0"/>
          <w:numId w:val="4"/>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Les</w:t>
      </w:r>
      <w:r w:rsidRPr="00680492">
        <w:rPr>
          <w:rFonts w:ascii="Roboto" w:eastAsia="Times New Roman" w:hAnsi="Roboto" w:cs="Times New Roman"/>
          <w:color w:val="212529"/>
          <w:sz w:val="25"/>
          <w:szCs w:val="25"/>
          <w:lang w:eastAsia="fr-FR"/>
        </w:rPr>
        <w:t xml:space="preserve"> reconstructions à l'identique d'un bâtiment détruit depuis moins de 10 ans suite à un sinistre comme un incendie</w:t>
      </w:r>
    </w:p>
    <w:p w14:paraId="0880C566" w14:textId="5B873D9A" w:rsidR="00680492" w:rsidRPr="00680492" w:rsidRDefault="00680492" w:rsidP="00680492">
      <w:pPr>
        <w:numPr>
          <w:ilvl w:val="0"/>
          <w:numId w:val="4"/>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Les</w:t>
      </w:r>
      <w:r w:rsidRPr="00680492">
        <w:rPr>
          <w:rFonts w:ascii="Roboto" w:eastAsia="Times New Roman" w:hAnsi="Roboto" w:cs="Times New Roman"/>
          <w:color w:val="212529"/>
          <w:sz w:val="25"/>
          <w:szCs w:val="25"/>
          <w:lang w:eastAsia="fr-FR"/>
        </w:rPr>
        <w:t xml:space="preserve"> constructions et aménagements prescrits par un plan de prévention des risques sous certaines conditions.</w:t>
      </w:r>
    </w:p>
    <w:p w14:paraId="4F219386" w14:textId="77777777" w:rsidR="00680492" w:rsidRPr="00680492" w:rsidRDefault="00680492" w:rsidP="00680492">
      <w:pPr>
        <w:shd w:val="clear" w:color="auto" w:fill="FFFFFF"/>
        <w:spacing w:after="100" w:afterAutospacing="1" w:line="240" w:lineRule="auto"/>
        <w:outlineLvl w:val="3"/>
        <w:rPr>
          <w:rFonts w:ascii="Arial" w:eastAsia="Times New Roman" w:hAnsi="Arial" w:cs="Arial"/>
          <w:color w:val="212529"/>
          <w:sz w:val="24"/>
          <w:szCs w:val="24"/>
          <w:lang w:eastAsia="fr-FR"/>
        </w:rPr>
      </w:pPr>
      <w:r w:rsidRPr="00680492">
        <w:rPr>
          <w:rFonts w:ascii="Arial" w:eastAsia="Times New Roman" w:hAnsi="Arial" w:cs="Arial"/>
          <w:color w:val="212529"/>
          <w:sz w:val="24"/>
          <w:szCs w:val="24"/>
          <w:lang w:eastAsia="fr-FR"/>
        </w:rPr>
        <w:t>Les exonérations facultatives</w:t>
      </w:r>
    </w:p>
    <w:p w14:paraId="562561BB"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Sur délibération, les collectivités locales peuvent décider d'exonérer de taxe d'aménagement (en totalité ou en partie) certaines constructions comme :</w:t>
      </w:r>
    </w:p>
    <w:p w14:paraId="73232BE8" w14:textId="056445C6" w:rsidR="00680492" w:rsidRPr="00680492" w:rsidRDefault="00680492" w:rsidP="00680492">
      <w:pPr>
        <w:numPr>
          <w:ilvl w:val="0"/>
          <w:numId w:val="5"/>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Les</w:t>
      </w:r>
      <w:r w:rsidRPr="00680492">
        <w:rPr>
          <w:rFonts w:ascii="Roboto" w:eastAsia="Times New Roman" w:hAnsi="Roboto" w:cs="Times New Roman"/>
          <w:color w:val="212529"/>
          <w:sz w:val="25"/>
          <w:szCs w:val="25"/>
          <w:lang w:eastAsia="fr-FR"/>
        </w:rPr>
        <w:t xml:space="preserve"> abris de jardin d'une superficie supérieur à 5 m</w:t>
      </w:r>
      <w:r w:rsidRPr="00680492">
        <w:rPr>
          <w:rFonts w:ascii="Roboto" w:eastAsia="Times New Roman" w:hAnsi="Roboto" w:cs="Times New Roman"/>
          <w:color w:val="212529"/>
          <w:sz w:val="19"/>
          <w:szCs w:val="19"/>
          <w:vertAlign w:val="superscript"/>
          <w:lang w:eastAsia="fr-FR"/>
        </w:rPr>
        <w:t>2</w:t>
      </w:r>
      <w:r w:rsidRPr="00680492">
        <w:rPr>
          <w:rFonts w:ascii="Roboto" w:eastAsia="Times New Roman" w:hAnsi="Roboto" w:cs="Times New Roman"/>
          <w:color w:val="212529"/>
          <w:sz w:val="25"/>
          <w:szCs w:val="25"/>
          <w:lang w:eastAsia="fr-FR"/>
        </w:rPr>
        <w:t>, pigeonniers et colombiers soumis à autorisation préalable</w:t>
      </w:r>
    </w:p>
    <w:p w14:paraId="27584F7B" w14:textId="7ED93362" w:rsidR="00680492" w:rsidRPr="00680492" w:rsidRDefault="00680492" w:rsidP="00680492">
      <w:pPr>
        <w:numPr>
          <w:ilvl w:val="0"/>
          <w:numId w:val="5"/>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Les</w:t>
      </w:r>
      <w:r w:rsidRPr="00680492">
        <w:rPr>
          <w:rFonts w:ascii="Roboto" w:eastAsia="Times New Roman" w:hAnsi="Roboto" w:cs="Times New Roman"/>
          <w:color w:val="212529"/>
          <w:sz w:val="25"/>
          <w:szCs w:val="25"/>
          <w:lang w:eastAsia="fr-FR"/>
        </w:rPr>
        <w:t xml:space="preserve"> surfaces de constructions supérieures à 100 m</w:t>
      </w:r>
      <w:r w:rsidRPr="00680492">
        <w:rPr>
          <w:rFonts w:ascii="Roboto" w:eastAsia="Times New Roman" w:hAnsi="Roboto" w:cs="Times New Roman"/>
          <w:color w:val="212529"/>
          <w:sz w:val="19"/>
          <w:szCs w:val="19"/>
          <w:vertAlign w:val="superscript"/>
          <w:lang w:eastAsia="fr-FR"/>
        </w:rPr>
        <w:t>2</w:t>
      </w:r>
      <w:r w:rsidRPr="00680492">
        <w:rPr>
          <w:rFonts w:ascii="Roboto" w:eastAsia="Times New Roman" w:hAnsi="Roboto" w:cs="Times New Roman"/>
          <w:color w:val="212529"/>
          <w:sz w:val="25"/>
          <w:szCs w:val="25"/>
          <w:lang w:eastAsia="fr-FR"/>
        </w:rPr>
        <w:t> pour la résidence principale financée par un </w:t>
      </w:r>
      <w:hyperlink r:id="rId12" w:history="1">
        <w:r w:rsidRPr="00680492">
          <w:rPr>
            <w:rFonts w:ascii="Roboto" w:eastAsia="Times New Roman" w:hAnsi="Roboto" w:cs="Times New Roman"/>
            <w:color w:val="126F7F"/>
            <w:sz w:val="25"/>
            <w:szCs w:val="25"/>
            <w:u w:val="single"/>
            <w:lang w:eastAsia="fr-FR"/>
          </w:rPr>
          <w:t>éco-PTZ</w:t>
        </w:r>
      </w:hyperlink>
    </w:p>
    <w:p w14:paraId="01EDE041" w14:textId="1183C1A7" w:rsidR="00680492" w:rsidRPr="00680492" w:rsidRDefault="00680492" w:rsidP="00680492">
      <w:pPr>
        <w:numPr>
          <w:ilvl w:val="0"/>
          <w:numId w:val="5"/>
        </w:numPr>
        <w:shd w:val="clear" w:color="auto" w:fill="FFFFFF"/>
        <w:spacing w:before="100" w:beforeAutospacing="1"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Les</w:t>
      </w:r>
      <w:r w:rsidRPr="00680492">
        <w:rPr>
          <w:rFonts w:ascii="Roboto" w:eastAsia="Times New Roman" w:hAnsi="Roboto" w:cs="Times New Roman"/>
          <w:color w:val="212529"/>
          <w:sz w:val="25"/>
          <w:szCs w:val="25"/>
          <w:lang w:eastAsia="fr-FR"/>
        </w:rPr>
        <w:t xml:space="preserve"> logements évolutifs dans les départements d'Outre-mer.</w:t>
      </w:r>
    </w:p>
    <w:p w14:paraId="1DC0C46E" w14:textId="77777777" w:rsidR="00680492" w:rsidRPr="00680492" w:rsidRDefault="00680492" w:rsidP="00680492">
      <w:pPr>
        <w:shd w:val="clear" w:color="auto" w:fill="E6E6EA"/>
        <w:spacing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b/>
          <w:bCs/>
          <w:color w:val="212529"/>
          <w:sz w:val="25"/>
          <w:szCs w:val="25"/>
          <w:lang w:eastAsia="fr-FR"/>
        </w:rPr>
        <w:t>Lire aussi</w:t>
      </w:r>
      <w:r w:rsidRPr="00680492">
        <w:rPr>
          <w:rFonts w:ascii="Roboto" w:eastAsia="Times New Roman" w:hAnsi="Roboto" w:cs="Times New Roman"/>
          <w:color w:val="212529"/>
          <w:sz w:val="25"/>
          <w:szCs w:val="25"/>
          <w:lang w:eastAsia="fr-FR"/>
        </w:rPr>
        <w:t> : </w:t>
      </w:r>
      <w:hyperlink r:id="rId13" w:history="1">
        <w:r w:rsidRPr="00680492">
          <w:rPr>
            <w:rFonts w:ascii="Roboto" w:eastAsia="Times New Roman" w:hAnsi="Roboto" w:cs="Times New Roman"/>
            <w:color w:val="126F7F"/>
            <w:sz w:val="25"/>
            <w:szCs w:val="25"/>
            <w:u w:val="single"/>
            <w:lang w:eastAsia="fr-FR"/>
          </w:rPr>
          <w:t>Taxe foncière sur le bâti : mode de calcul et réductions</w:t>
        </w:r>
      </w:hyperlink>
    </w:p>
    <w:p w14:paraId="073C66E4" w14:textId="77777777" w:rsidR="00680492" w:rsidRPr="00680492" w:rsidRDefault="00680492" w:rsidP="00680492">
      <w:pPr>
        <w:shd w:val="clear" w:color="auto" w:fill="FFFFFF"/>
        <w:spacing w:before="100" w:beforeAutospacing="1" w:after="100" w:afterAutospacing="1" w:line="240" w:lineRule="auto"/>
        <w:outlineLvl w:val="1"/>
        <w:rPr>
          <w:rFonts w:ascii="Arial" w:eastAsia="Times New Roman" w:hAnsi="Arial" w:cs="Arial"/>
          <w:color w:val="5A4B5F"/>
          <w:sz w:val="36"/>
          <w:szCs w:val="36"/>
          <w:lang w:eastAsia="fr-FR"/>
        </w:rPr>
      </w:pPr>
      <w:r w:rsidRPr="00680492">
        <w:rPr>
          <w:rFonts w:ascii="Arial" w:eastAsia="Times New Roman" w:hAnsi="Arial" w:cs="Arial"/>
          <w:color w:val="5A4B5F"/>
          <w:sz w:val="36"/>
          <w:szCs w:val="36"/>
          <w:lang w:eastAsia="fr-FR"/>
        </w:rPr>
        <w:t>Comment déclarer et payer votre taxe d'aménagement ?</w:t>
      </w:r>
    </w:p>
    <w:p w14:paraId="3343E26A" w14:textId="77777777" w:rsidR="00680492" w:rsidRPr="00680492" w:rsidRDefault="00680492" w:rsidP="00680492">
      <w:pPr>
        <w:shd w:val="clear" w:color="auto" w:fill="FFFFFF"/>
        <w:spacing w:after="100" w:afterAutospacing="1" w:line="240" w:lineRule="auto"/>
        <w:outlineLvl w:val="2"/>
        <w:rPr>
          <w:rFonts w:ascii="Roboto" w:eastAsia="Times New Roman" w:hAnsi="Roboto" w:cs="Times New Roman"/>
          <w:b/>
          <w:bCs/>
          <w:color w:val="5A4B5F"/>
          <w:sz w:val="27"/>
          <w:szCs w:val="27"/>
          <w:lang w:eastAsia="fr-FR"/>
        </w:rPr>
      </w:pPr>
      <w:r w:rsidRPr="00680492">
        <w:rPr>
          <w:rFonts w:ascii="Roboto" w:eastAsia="Times New Roman" w:hAnsi="Roboto" w:cs="Times New Roman"/>
          <w:b/>
          <w:bCs/>
          <w:color w:val="5A4B5F"/>
          <w:sz w:val="27"/>
          <w:szCs w:val="27"/>
          <w:lang w:eastAsia="fr-FR"/>
        </w:rPr>
        <w:t>Déclaration de la taxe d'aménagement</w:t>
      </w:r>
    </w:p>
    <w:p w14:paraId="4E51CF14"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Vous devez établir votre déclaration au moment du dépôt du permis de construire, d'aménagement ou de la déclaration préalable.</w:t>
      </w:r>
    </w:p>
    <w:p w14:paraId="3382128D" w14:textId="77777777" w:rsidR="00680492" w:rsidRPr="00680492" w:rsidRDefault="00680492" w:rsidP="00680492">
      <w:pPr>
        <w:shd w:val="clear" w:color="auto" w:fill="FFFFFF"/>
        <w:spacing w:after="100" w:afterAutospacing="1" w:line="240" w:lineRule="auto"/>
        <w:outlineLvl w:val="2"/>
        <w:rPr>
          <w:rFonts w:ascii="Roboto" w:eastAsia="Times New Roman" w:hAnsi="Roboto" w:cs="Times New Roman"/>
          <w:b/>
          <w:bCs/>
          <w:color w:val="5A4B5F"/>
          <w:sz w:val="27"/>
          <w:szCs w:val="27"/>
          <w:lang w:eastAsia="fr-FR"/>
        </w:rPr>
      </w:pPr>
      <w:r w:rsidRPr="00680492">
        <w:rPr>
          <w:rFonts w:ascii="Roboto" w:eastAsia="Times New Roman" w:hAnsi="Roboto" w:cs="Times New Roman"/>
          <w:b/>
          <w:bCs/>
          <w:color w:val="5A4B5F"/>
          <w:sz w:val="27"/>
          <w:szCs w:val="27"/>
          <w:lang w:eastAsia="fr-FR"/>
        </w:rPr>
        <w:t>Paiement de la taxe d'aménagement</w:t>
      </w:r>
    </w:p>
    <w:p w14:paraId="200E6E5C" w14:textId="18CADBAA"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 montant</w:t>
      </w:r>
      <w:r w:rsidRPr="00680492">
        <w:rPr>
          <w:rFonts w:ascii="Roboto" w:eastAsia="Times New Roman" w:hAnsi="Roboto" w:cs="Times New Roman"/>
          <w:color w:val="212529"/>
          <w:sz w:val="25"/>
          <w:szCs w:val="25"/>
          <w:lang w:eastAsia="fr-FR"/>
        </w:rPr>
        <w:t xml:space="preserve"> de la taxe d'aménagement est établi par la Direction départementale des territoires (DDT) ou la </w:t>
      </w:r>
      <w:hyperlink r:id="rId14" w:tgtFrame="_blank" w:tooltip="« driea.ile-de-france » dans une nouvelle fenêtre" w:history="1">
        <w:r w:rsidRPr="00680492">
          <w:rPr>
            <w:rFonts w:ascii="Roboto" w:eastAsia="Times New Roman" w:hAnsi="Roboto" w:cs="Times New Roman"/>
            <w:color w:val="126F7F"/>
            <w:sz w:val="25"/>
            <w:szCs w:val="25"/>
            <w:u w:val="single"/>
            <w:lang w:eastAsia="fr-FR"/>
          </w:rPr>
          <w:t>Direction régionale et interdépartementale de l'équipement et de l'aménagement (DRIEA)</w:t>
        </w:r>
      </w:hyperlink>
      <w:r w:rsidRPr="00680492">
        <w:rPr>
          <w:rFonts w:ascii="Roboto" w:eastAsia="Times New Roman" w:hAnsi="Roboto" w:cs="Times New Roman"/>
          <w:color w:val="212529"/>
          <w:sz w:val="25"/>
          <w:szCs w:val="25"/>
          <w:lang w:eastAsia="fr-FR"/>
        </w:rPr>
        <w:t> en Île-De-France. L'avis de taxe d'aménagement est adressé au redevable dans les 6 mois suivant la délivrance de l'autorisation de construire ou d'aménager.</w:t>
      </w:r>
    </w:p>
    <w:p w14:paraId="64AC8FAB"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Si le montant de votre taxe d'aménagement est supérieur à </w:t>
      </w:r>
      <w:r w:rsidRPr="00680492">
        <w:rPr>
          <w:rFonts w:ascii="Arial" w:eastAsia="Times New Roman" w:hAnsi="Arial" w:cs="Arial"/>
          <w:b/>
          <w:bCs/>
          <w:color w:val="212529"/>
          <w:sz w:val="25"/>
          <w:szCs w:val="25"/>
          <w:lang w:eastAsia="fr-FR"/>
        </w:rPr>
        <w:t>1 500 €</w:t>
      </w:r>
      <w:r w:rsidRPr="00680492">
        <w:rPr>
          <w:rFonts w:ascii="Roboto" w:eastAsia="Times New Roman" w:hAnsi="Roboto" w:cs="Times New Roman"/>
          <w:color w:val="212529"/>
          <w:sz w:val="25"/>
          <w:szCs w:val="25"/>
          <w:lang w:eastAsia="fr-FR"/>
        </w:rPr>
        <w:t>, vous devrez la régler en 2 fractions. Les avis sont émis 12 et 24 mois suivant la délivrance de l'autorisation d'urbanisme.</w:t>
      </w:r>
    </w:p>
    <w:p w14:paraId="4B108191"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Le paiement de la taxe d'aménagement est à adresser au comptable de la Direction des Finances publiques dans le ressort duquel l'aménagement a été édifié.</w:t>
      </w:r>
    </w:p>
    <w:p w14:paraId="53476779"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Roboto" w:eastAsia="Times New Roman" w:hAnsi="Roboto" w:cs="Times New Roman"/>
          <w:color w:val="212529"/>
          <w:sz w:val="25"/>
          <w:szCs w:val="25"/>
          <w:lang w:eastAsia="fr-FR"/>
        </w:rPr>
        <w:t xml:space="preserve">Une majoration de 10 % est appliquée en cas de paiement tardif. Une pénalité de 80 % du montant de l'impôt dû est appliquée en cas de construction sans </w:t>
      </w:r>
      <w:r w:rsidRPr="00680492">
        <w:rPr>
          <w:rFonts w:ascii="Roboto" w:eastAsia="Times New Roman" w:hAnsi="Roboto" w:cs="Times New Roman"/>
          <w:color w:val="212529"/>
          <w:sz w:val="25"/>
          <w:szCs w:val="25"/>
          <w:lang w:eastAsia="fr-FR"/>
        </w:rPr>
        <w:lastRenderedPageBreak/>
        <w:t>autorisation ou en infraction à l'autorisation et manquement aux obligations déclaratives relatives à la taxe d'aménagement.</w:t>
      </w:r>
    </w:p>
    <w:p w14:paraId="755977F4" w14:textId="77777777" w:rsidR="00680492" w:rsidRPr="00680492" w:rsidRDefault="00680492" w:rsidP="00680492">
      <w:pPr>
        <w:shd w:val="clear" w:color="auto" w:fill="E6E6EA"/>
        <w:spacing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b/>
          <w:bCs/>
          <w:color w:val="212529"/>
          <w:sz w:val="25"/>
          <w:szCs w:val="25"/>
          <w:lang w:eastAsia="fr-FR"/>
        </w:rPr>
        <w:t>Lire aussi </w:t>
      </w:r>
      <w:r w:rsidRPr="00680492">
        <w:rPr>
          <w:rFonts w:ascii="Roboto" w:eastAsia="Times New Roman" w:hAnsi="Roboto" w:cs="Times New Roman"/>
          <w:color w:val="212529"/>
          <w:sz w:val="25"/>
          <w:szCs w:val="25"/>
          <w:lang w:eastAsia="fr-FR"/>
        </w:rPr>
        <w:t>: </w:t>
      </w:r>
      <w:hyperlink r:id="rId15" w:history="1">
        <w:r w:rsidRPr="00680492">
          <w:rPr>
            <w:rFonts w:ascii="Roboto" w:eastAsia="Times New Roman" w:hAnsi="Roboto" w:cs="Times New Roman"/>
            <w:color w:val="126F7F"/>
            <w:sz w:val="25"/>
            <w:szCs w:val="25"/>
            <w:u w:val="single"/>
            <w:lang w:eastAsia="fr-FR"/>
          </w:rPr>
          <w:t>Impôts : la demande de remise gracieuse, comment ça marche ?</w:t>
        </w:r>
      </w:hyperlink>
      <w:r w:rsidRPr="00680492">
        <w:rPr>
          <w:rFonts w:ascii="Roboto" w:eastAsia="Times New Roman" w:hAnsi="Roboto" w:cs="Times New Roman"/>
          <w:color w:val="212529"/>
          <w:sz w:val="25"/>
          <w:szCs w:val="25"/>
          <w:lang w:eastAsia="fr-FR"/>
        </w:rPr>
        <w:t> | </w:t>
      </w:r>
      <w:hyperlink r:id="rId16" w:history="1">
        <w:r w:rsidRPr="00680492">
          <w:rPr>
            <w:rFonts w:ascii="Roboto" w:eastAsia="Times New Roman" w:hAnsi="Roboto" w:cs="Times New Roman"/>
            <w:color w:val="126F7F"/>
            <w:sz w:val="25"/>
            <w:szCs w:val="25"/>
            <w:u w:val="single"/>
            <w:lang w:eastAsia="fr-FR"/>
          </w:rPr>
          <w:t>Particuliers : les réductions et crédits d'impôts auxquels vous pouvez prétendre</w:t>
        </w:r>
      </w:hyperlink>
    </w:p>
    <w:p w14:paraId="045BB42B" w14:textId="77777777" w:rsidR="00680492" w:rsidRPr="00680492" w:rsidRDefault="00680492" w:rsidP="00680492">
      <w:pPr>
        <w:shd w:val="clear" w:color="auto" w:fill="FFFFFF"/>
        <w:spacing w:after="100" w:afterAutospacing="1" w:line="240" w:lineRule="auto"/>
        <w:rPr>
          <w:rFonts w:ascii="Roboto" w:eastAsia="Times New Roman" w:hAnsi="Roboto" w:cs="Times New Roman"/>
          <w:color w:val="212529"/>
          <w:sz w:val="25"/>
          <w:szCs w:val="25"/>
          <w:lang w:eastAsia="fr-FR"/>
        </w:rPr>
      </w:pPr>
      <w:r w:rsidRPr="00680492">
        <w:rPr>
          <w:rFonts w:ascii="Arial" w:eastAsia="Times New Roman" w:hAnsi="Arial" w:cs="Arial"/>
          <w:i/>
          <w:iCs/>
          <w:color w:val="212529"/>
          <w:sz w:val="25"/>
          <w:szCs w:val="25"/>
          <w:lang w:eastAsia="fr-FR"/>
        </w:rPr>
        <w:t>Publié initialement le 11/03/2019</w:t>
      </w:r>
    </w:p>
    <w:p w14:paraId="4D1B9815" w14:textId="77777777" w:rsidR="00680492" w:rsidRPr="00680492" w:rsidRDefault="00680492" w:rsidP="00680492">
      <w:pPr>
        <w:shd w:val="clear" w:color="auto" w:fill="1F5683"/>
        <w:spacing w:before="100" w:beforeAutospacing="1" w:after="100" w:afterAutospacing="1" w:line="240" w:lineRule="auto"/>
        <w:rPr>
          <w:rFonts w:ascii="Roboto" w:eastAsia="Times New Roman" w:hAnsi="Roboto" w:cs="Times New Roman"/>
          <w:color w:val="FFFFFF"/>
          <w:sz w:val="25"/>
          <w:szCs w:val="25"/>
          <w:lang w:eastAsia="fr-FR"/>
        </w:rPr>
      </w:pPr>
      <w:r w:rsidRPr="00680492">
        <w:rPr>
          <w:rFonts w:ascii="Roboto" w:eastAsia="Times New Roman" w:hAnsi="Roboto" w:cs="Times New Roman"/>
          <w:color w:val="FFFFFF"/>
          <w:sz w:val="25"/>
          <w:szCs w:val="25"/>
          <w:lang w:eastAsia="fr-FR"/>
        </w:rPr>
        <w:t>Aller plus loin</w:t>
      </w:r>
    </w:p>
    <w:p w14:paraId="788FB02F" w14:textId="77777777" w:rsidR="004C5967" w:rsidRDefault="00680492"/>
    <w:sectPr w:rsidR="004C5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4228"/>
    <w:multiLevelType w:val="multilevel"/>
    <w:tmpl w:val="5792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F1DDA"/>
    <w:multiLevelType w:val="multilevel"/>
    <w:tmpl w:val="C518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D427C"/>
    <w:multiLevelType w:val="multilevel"/>
    <w:tmpl w:val="AB0C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23B47"/>
    <w:multiLevelType w:val="multilevel"/>
    <w:tmpl w:val="979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A5A1D"/>
    <w:multiLevelType w:val="multilevel"/>
    <w:tmpl w:val="A962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92"/>
    <w:rsid w:val="004D2731"/>
    <w:rsid w:val="00680492"/>
    <w:rsid w:val="008D7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F02D"/>
  <w15:chartTrackingRefBased/>
  <w15:docId w15:val="{8460C90E-045C-4ED2-B876-04CEC032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13907">
      <w:bodyDiv w:val="1"/>
      <w:marLeft w:val="0"/>
      <w:marRight w:val="0"/>
      <w:marTop w:val="0"/>
      <w:marBottom w:val="0"/>
      <w:divBdr>
        <w:top w:val="none" w:sz="0" w:space="0" w:color="auto"/>
        <w:left w:val="none" w:sz="0" w:space="0" w:color="auto"/>
        <w:bottom w:val="none" w:sz="0" w:space="0" w:color="auto"/>
        <w:right w:val="none" w:sz="0" w:space="0" w:color="auto"/>
      </w:divBdr>
      <w:divsChild>
        <w:div w:id="955990076">
          <w:marLeft w:val="0"/>
          <w:marRight w:val="0"/>
          <w:marTop w:val="100"/>
          <w:marBottom w:val="100"/>
          <w:divBdr>
            <w:top w:val="none" w:sz="0" w:space="0" w:color="auto"/>
            <w:left w:val="none" w:sz="0" w:space="0" w:color="auto"/>
            <w:bottom w:val="none" w:sz="0" w:space="0" w:color="auto"/>
            <w:right w:val="none" w:sz="0" w:space="0" w:color="auto"/>
          </w:divBdr>
        </w:div>
        <w:div w:id="504783606">
          <w:marLeft w:val="0"/>
          <w:marRight w:val="0"/>
          <w:marTop w:val="100"/>
          <w:marBottom w:val="100"/>
          <w:divBdr>
            <w:top w:val="none" w:sz="0" w:space="0" w:color="auto"/>
            <w:left w:val="none" w:sz="0" w:space="0" w:color="auto"/>
            <w:bottom w:val="none" w:sz="0" w:space="0" w:color="auto"/>
            <w:right w:val="none" w:sz="0" w:space="0" w:color="auto"/>
          </w:divBdr>
          <w:divsChild>
            <w:div w:id="42559569">
              <w:marLeft w:val="0"/>
              <w:marRight w:val="0"/>
              <w:marTop w:val="0"/>
              <w:marBottom w:val="0"/>
              <w:divBdr>
                <w:top w:val="none" w:sz="0" w:space="0" w:color="auto"/>
                <w:left w:val="none" w:sz="0" w:space="0" w:color="auto"/>
                <w:bottom w:val="none" w:sz="0" w:space="0" w:color="auto"/>
                <w:right w:val="none" w:sz="0" w:space="0" w:color="auto"/>
              </w:divBdr>
              <w:divsChild>
                <w:div w:id="1271745987">
                  <w:marLeft w:val="0"/>
                  <w:marRight w:val="0"/>
                  <w:marTop w:val="0"/>
                  <w:marBottom w:val="0"/>
                  <w:divBdr>
                    <w:top w:val="single" w:sz="6" w:space="0" w:color="5A4B5F"/>
                    <w:left w:val="single" w:sz="6" w:space="0" w:color="5A4B5F"/>
                    <w:bottom w:val="single" w:sz="6" w:space="0" w:color="5A4B5F"/>
                    <w:right w:val="single" w:sz="6" w:space="0" w:color="5A4B5F"/>
                  </w:divBdr>
                </w:div>
                <w:div w:id="1893616492">
                  <w:marLeft w:val="0"/>
                  <w:marRight w:val="0"/>
                  <w:marTop w:val="0"/>
                  <w:marBottom w:val="0"/>
                  <w:divBdr>
                    <w:top w:val="none" w:sz="0" w:space="0" w:color="auto"/>
                    <w:left w:val="none" w:sz="0" w:space="0" w:color="auto"/>
                    <w:bottom w:val="none" w:sz="0" w:space="0" w:color="auto"/>
                    <w:right w:val="none" w:sz="0" w:space="0" w:color="auto"/>
                  </w:divBdr>
                  <w:divsChild>
                    <w:div w:id="1751656583">
                      <w:marLeft w:val="0"/>
                      <w:marRight w:val="0"/>
                      <w:marTop w:val="0"/>
                      <w:marBottom w:val="0"/>
                      <w:divBdr>
                        <w:top w:val="none" w:sz="0" w:space="0" w:color="auto"/>
                        <w:left w:val="none" w:sz="0" w:space="0" w:color="auto"/>
                        <w:bottom w:val="none" w:sz="0" w:space="0" w:color="auto"/>
                        <w:right w:val="none" w:sz="0" w:space="0" w:color="auto"/>
                      </w:divBdr>
                      <w:divsChild>
                        <w:div w:id="1505319441">
                          <w:marLeft w:val="0"/>
                          <w:marRight w:val="0"/>
                          <w:marTop w:val="0"/>
                          <w:marBottom w:val="0"/>
                          <w:divBdr>
                            <w:top w:val="none" w:sz="0" w:space="0" w:color="auto"/>
                            <w:left w:val="none" w:sz="0" w:space="0" w:color="auto"/>
                            <w:bottom w:val="none" w:sz="0" w:space="0" w:color="auto"/>
                            <w:right w:val="none" w:sz="0" w:space="0" w:color="auto"/>
                          </w:divBdr>
                          <w:divsChild>
                            <w:div w:id="19904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045">
                      <w:marLeft w:val="0"/>
                      <w:marRight w:val="0"/>
                      <w:marTop w:val="0"/>
                      <w:marBottom w:val="0"/>
                      <w:divBdr>
                        <w:top w:val="none" w:sz="0" w:space="0" w:color="auto"/>
                        <w:left w:val="none" w:sz="0" w:space="0" w:color="auto"/>
                        <w:bottom w:val="none" w:sz="0" w:space="0" w:color="auto"/>
                        <w:right w:val="none" w:sz="0" w:space="0" w:color="auto"/>
                      </w:divBdr>
                      <w:divsChild>
                        <w:div w:id="918637054">
                          <w:marLeft w:val="0"/>
                          <w:marRight w:val="0"/>
                          <w:marTop w:val="0"/>
                          <w:marBottom w:val="0"/>
                          <w:divBdr>
                            <w:top w:val="none" w:sz="0" w:space="0" w:color="auto"/>
                            <w:left w:val="none" w:sz="0" w:space="0" w:color="auto"/>
                            <w:bottom w:val="none" w:sz="0" w:space="0" w:color="auto"/>
                            <w:right w:val="none" w:sz="0" w:space="0" w:color="auto"/>
                          </w:divBdr>
                          <w:divsChild>
                            <w:div w:id="167259194">
                              <w:marLeft w:val="0"/>
                              <w:marRight w:val="0"/>
                              <w:marTop w:val="0"/>
                              <w:marBottom w:val="0"/>
                              <w:divBdr>
                                <w:top w:val="none" w:sz="0" w:space="0" w:color="auto"/>
                                <w:left w:val="none" w:sz="0" w:space="0" w:color="auto"/>
                                <w:bottom w:val="none" w:sz="0" w:space="0" w:color="auto"/>
                                <w:right w:val="none" w:sz="0" w:space="0" w:color="auto"/>
                              </w:divBdr>
                              <w:divsChild>
                                <w:div w:id="15780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particuliers/taxe-habitation" TargetMode="External"/><Relationship Id="rId13" Type="http://schemas.openxmlformats.org/officeDocument/2006/relationships/hyperlink" Target="https://www.economie.gouv.fr/particuliers/taxe-fonciere-bati-calcul-redu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onomie.gouv.fr/particuliers/impots-locaux" TargetMode="External"/><Relationship Id="rId12" Type="http://schemas.openxmlformats.org/officeDocument/2006/relationships/hyperlink" Target="https://www.economie.gouv.fr/particuliers/eco-pret-a-taux-zero-ptz-renovation-performance-energetiq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onomie.gouv.fr/particuliers/financement-aides-credits-impot" TargetMode="External"/><Relationship Id="rId1" Type="http://schemas.openxmlformats.org/officeDocument/2006/relationships/numbering" Target="numbering.xml"/><Relationship Id="rId6" Type="http://schemas.openxmlformats.org/officeDocument/2006/relationships/hyperlink" Target="https://www.economie.gouv.fr/toutes-les-actualites-vous-orienter/thematique/autres-impots-7054" TargetMode="External"/><Relationship Id="rId11" Type="http://schemas.openxmlformats.org/officeDocument/2006/relationships/hyperlink" Target="https://www.legifrance.gouv.fr/affichCode.do?cidTexte=LEGITEXT000006074075" TargetMode="External"/><Relationship Id="rId5" Type="http://schemas.openxmlformats.org/officeDocument/2006/relationships/hyperlink" Target="https://economie.gouv.fr/entreprises/bercy-infos-qui-sommes-nous" TargetMode="External"/><Relationship Id="rId15" Type="http://schemas.openxmlformats.org/officeDocument/2006/relationships/hyperlink" Target="https://www.economie.gouv.fr/particuliers/impot-demande-remise-gracieuse" TargetMode="External"/><Relationship Id="rId10" Type="http://schemas.openxmlformats.org/officeDocument/2006/relationships/hyperlink" Target="https://www.economie.gouv.fr/particuliers/suppression-taxe-habitation-combien-allez-vous-gagner" TargetMode="External"/><Relationship Id="rId4" Type="http://schemas.openxmlformats.org/officeDocument/2006/relationships/webSettings" Target="webSettings.xml"/><Relationship Id="rId9" Type="http://schemas.openxmlformats.org/officeDocument/2006/relationships/hyperlink" Target="http://www.cohesion-territoires.gouv.fr/calcul-de-la-taxe-d-amenagement" TargetMode="External"/><Relationship Id="rId14" Type="http://schemas.openxmlformats.org/officeDocument/2006/relationships/hyperlink" Target="http://www.driea.ile-de-france.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5874</Characters>
  <Application>Microsoft Office Word</Application>
  <DocSecurity>0</DocSecurity>
  <Lines>48</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Natilia Cholet</dc:creator>
  <cp:keywords/>
  <dc:description/>
  <cp:lastModifiedBy>Natilia Cholet</cp:lastModifiedBy>
  <cp:revision>1</cp:revision>
  <dcterms:created xsi:type="dcterms:W3CDTF">2021-06-28T14:41:00Z</dcterms:created>
  <dcterms:modified xsi:type="dcterms:W3CDTF">2021-06-28T14:42:00Z</dcterms:modified>
</cp:coreProperties>
</file>